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Laboratory Equipment Ghana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7000007271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